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6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работе </w:t>
      </w:r>
      <w:r>
        <w:rPr>
          <w:rFonts w:ascii="Times New Roman" w:hAnsi="Times New Roman"/>
          <w:b/>
          <w:sz w:val="28"/>
          <w:szCs w:val="28"/>
        </w:rPr>
        <w:t xml:space="preserve">организационно-правового управления а</w:t>
      </w:r>
      <w:r>
        <w:rPr>
          <w:rFonts w:ascii="Times New Roman" w:hAnsi="Times New Roman"/>
          <w:b/>
          <w:sz w:val="28"/>
          <w:szCs w:val="28"/>
        </w:rPr>
        <w:t xml:space="preserve">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Бутурлинского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/>
          <w:b/>
          <w:sz w:val="28"/>
          <w:szCs w:val="28"/>
        </w:rPr>
        <w:t xml:space="preserve">Нижегородской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6"/>
        <w:ind w:left="-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квартал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правление администрации Бутурлинского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в с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оей деятельности руководствуется Конституцией и законами Российской Федерации, нормативн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актами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Бутурлинского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, Положением об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, должностными инструкциями муниципальных служащих и специалистов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 управления и др.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организована в соотве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ствии с годовыми и месячными планами, ут</w:t>
      </w:r>
      <w:r>
        <w:rPr>
          <w:rFonts w:ascii="Times New Roman" w:hAnsi="Times New Roman" w:cs="Times New Roman"/>
          <w:sz w:val="28"/>
          <w:szCs w:val="28"/>
        </w:rPr>
        <w:t xml:space="preserve">вержденными главой местного самоуправления Бутурлинского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"/>
        </w:numPr>
        <w:ind w:left="284" w:hanging="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Отчет отдела правовой и кадровой работы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организационно-правового управления администрации Бутурлинского муниципального округа Нижегородской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946"/>
        <w:ind w:left="284" w:hanging="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квартал 2026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946"/>
        <w:ind w:left="284" w:hanging="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946"/>
        <w:numPr>
          <w:ilvl w:val="0"/>
          <w:numId w:val="4"/>
        </w:numPr>
        <w:ind w:left="993" w:hanging="284"/>
        <w:jc w:val="both"/>
        <w:spacing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Правовая работа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Style w:val="946"/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r>
    </w:p>
    <w:tbl>
      <w:tblPr>
        <w:tblStyle w:val="917"/>
        <w:tblW w:w="0" w:type="auto"/>
        <w:tblLook w:val="04A0" w:firstRow="1" w:lastRow="0" w:firstColumn="1" w:lastColumn="0" w:noHBand="0" w:noVBand="1"/>
      </w:tblPr>
      <w:tblGrid>
        <w:gridCol w:w="617"/>
        <w:gridCol w:w="8728"/>
      </w:tblGrid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езультативност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правовая и антикоррупционная экспертизы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 нормативных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актов, подготовленных отраслевыми (функциональными) подразделениями администрации округа.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проекты нормативных правовых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  направлены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правовой и антикоррупционной экспертиз в прокуратуру района. Получены положительные заключения об отсутствии несоответствия действующему законодательству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Подготовлены и направлены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отзывов на исковые заявления в Бутурлинский районный суд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pStyle w:val="915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В отдел по профилактике коррупционных и иных правонарушений Нижегородской области направлены ежемесячные и ежеквартальный отчеты в области организации работы по противодействию коррупции.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pStyle w:val="915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В жилищную инспекцию Нижегородской области направлен ежеквартальный отчет о деятельности административной комиссии.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pStyle w:val="915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Проведен</w:t>
            </w:r>
            <w:r>
              <w:rPr>
                <w:szCs w:val="28"/>
              </w:rPr>
              <w:t xml:space="preserve">о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заседани</w:t>
            </w:r>
            <w:r>
              <w:rPr>
                <w:szCs w:val="28"/>
              </w:rPr>
              <w:t xml:space="preserve">е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комисси</w:t>
            </w:r>
            <w:r>
              <w:rPr>
                <w:szCs w:val="28"/>
              </w:rPr>
              <w:t xml:space="preserve">и</w:t>
            </w:r>
            <w:r>
              <w:rPr>
                <w:szCs w:val="28"/>
              </w:rPr>
              <w:t xml:space="preserve"> по координации работы по противодействию коррупции.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textDirection w:val="lrTb"/>
            <w:noWrap w:val="false"/>
          </w:tcPr>
          <w:p>
            <w:pPr>
              <w:pStyle w:val="915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Актуализация на официальном сайте раздела «Противодействие коррупции».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6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28" w:type="dxa"/>
            <w:vMerge w:val="restart"/>
            <w:textDirection w:val="lrTb"/>
            <w:noWrap w:val="false"/>
          </w:tcPr>
          <w:p>
            <w:pPr>
              <w:pStyle w:val="915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Завершена работа по принятию нового Устава Бутурлинского муниципального округа Нижегородской области.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46"/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ind w:left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Отчет сектора по работе с кадрами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Style w:val="946"/>
        <w:ind w:left="106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/>
          <w:b/>
          <w:color w:val="ff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/>
          <w:b/>
          <w:color w:val="ff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Велась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одготовка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проектов распоряжений по личному составу,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регистрация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ыдача справок работникам администрации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 передача сведений (СЗВ ТД, ЕФС1), по мере издания распоряжений по личному составу) в Социальный Фонд России.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изменением структуры администрации проведена большая работа по личному составу, в т.ч. подготовлены и вручены уведомления об изменении условий трудового договора (о переводе, увольнении и т.д). Подготовка  проектов распоряжений по личному составу, регист</w:t>
      </w:r>
      <w:r>
        <w:rPr>
          <w:rFonts w:ascii="Times New Roman" w:hAnsi="Times New Roman" w:cs="Times New Roman"/>
          <w:sz w:val="28"/>
          <w:szCs w:val="28"/>
        </w:rPr>
        <w:t xml:space="preserve">рация документов. Выдача справок работникам администрации.</w:t>
      </w:r>
      <w:r/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Постоянно осуществля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контроль за правильностью составления и оформления нормативных и распорядительных документов в структурных подразделениях администрации округа, оказыва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лась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методическая и консультативная помощь.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оставлен отчет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год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муниципальн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программ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«Повышение эффективности муниципального управления Бутурлинского муниципального округа Нижегородской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Внесены изменения в программу и план ее реализации.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color w:val="ff0000"/>
        </w:rPr>
        <w:t xml:space="preserve">  </w:t>
      </w:r>
      <w:r>
        <w:rPr>
          <w:color w:val="ff0000"/>
        </w:rPr>
        <w:t xml:space="preserve">    </w:t>
      </w:r>
      <w:r>
        <w:rPr>
          <w:color w:val="ff0000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одготовлено 20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соглашений</w:t>
      </w:r>
      <w:r>
        <w:rPr>
          <w:rFonts w:ascii="Times New Roman" w:hAnsi="Times New Roman" w:cs="Times New Roman"/>
          <w:sz w:val="28"/>
          <w:szCs w:val="28"/>
        </w:rPr>
        <w:t xml:space="preserve"> к трудовым договорам муниципальных служащих, работников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руководителей муниципальных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Подготовлено 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трудовых договоров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Оформлены документы и личные дела в отношении 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принятых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работников.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Присвоены очередные классные чины 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муниципальным служащим.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923"/>
        <w:ind w:firstLine="709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Проведены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 одна</w:t>
      </w:r>
      <w:r>
        <w:rPr>
          <w:rFonts w:ascii="Times New Roman" w:hAnsi="Times New Roman"/>
          <w:sz w:val="28"/>
          <w:szCs w:val="28"/>
        </w:rPr>
        <w:t xml:space="preserve"> проверка в рамках </w:t>
      </w:r>
      <w:r>
        <w:rPr>
          <w:rFonts w:ascii="Times New Roman" w:hAnsi="Times New Roman"/>
          <w:sz w:val="28"/>
          <w:szCs w:val="28"/>
        </w:rPr>
        <w:t xml:space="preserve">ведомственных контроля</w:t>
      </w:r>
      <w:r>
        <w:rPr>
          <w:rFonts w:ascii="Times New Roman" w:hAnsi="Times New Roman"/>
          <w:sz w:val="28"/>
          <w:szCs w:val="28"/>
        </w:rPr>
        <w:t xml:space="preserve">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в МБУК «РДК»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3"/>
        <w:numPr>
          <w:ilvl w:val="0"/>
          <w:numId w:val="27"/>
        </w:numPr>
        <w:ind w:left="0" w:right="0"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два заседания комиссии по отбору кандидатов для награждения государственными наградами и наградами Нижегородской области при администрации Бутурлинского муниципального округа Нижегородской области.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3"/>
        <w:numPr>
          <w:ilvl w:val="0"/>
          <w:numId w:val="26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одно</w:t>
      </w:r>
      <w:r>
        <w:rPr>
          <w:color w:val="000000" w:themeColor="text1"/>
          <w:sz w:val="28"/>
          <w:szCs w:val="28"/>
          <w:highlight w:val="none"/>
        </w:rPr>
        <w:t xml:space="preserve"> заседание комиссии по оценке эффективности и результативности работы руководителей муниципальных бюджетных, казенных и автономных учреждений Бутурлинского муниципального округа Нижегородской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26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одно заседание аттестационной комиссии администрации Бутурлинского муниципального округа Нижегородской области (аттестовано 16 муниципальных служащих).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ind w:firstLine="709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Проведена работа по внесению изменений в перечень муниципальных услуг, заключено 1 дополнительное соглашение о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предоставления государственных и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муниципальных услуг на территории Нижегородской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ind w:firstLine="709"/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Подготовлены материалы для награждения</w:t>
      </w:r>
      <w:r/>
    </w:p>
    <w:p>
      <w:pPr>
        <w:pStyle w:val="923"/>
        <w:numPr>
          <w:ilvl w:val="0"/>
          <w:numId w:val="28"/>
        </w:numPr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 Благодарственным письмом Законодательного Собрания Нижегородской области – 5 чел.</w:t>
      </w:r>
      <w:r/>
    </w:p>
    <w:p>
      <w:pPr>
        <w:pStyle w:val="923"/>
        <w:numPr>
          <w:ilvl w:val="0"/>
          <w:numId w:val="28"/>
        </w:numPr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Почетным Дипломом Губернатора – 1 чел.</w:t>
      </w:r>
      <w:r/>
    </w:p>
    <w:p>
      <w:pPr>
        <w:pStyle w:val="923"/>
        <w:numPr>
          <w:ilvl w:val="0"/>
          <w:numId w:val="28"/>
        </w:numPr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Почетной Грамотой Губернатора – 1 чел.</w:t>
      </w:r>
      <w:r/>
    </w:p>
    <w:p>
      <w:pPr>
        <w:pStyle w:val="923"/>
        <w:numPr>
          <w:ilvl w:val="0"/>
          <w:numId w:val="28"/>
        </w:numPr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Благодарностью Губернатора – 4 чел.</w:t>
      </w:r>
      <w:r/>
    </w:p>
    <w:p>
      <w:pPr>
        <w:pStyle w:val="923"/>
        <w:numPr>
          <w:ilvl w:val="0"/>
          <w:numId w:val="28"/>
        </w:numPr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Благодарностью Совета муниципальных образований – 3 чел.</w:t>
      </w:r>
      <w:r/>
    </w:p>
    <w:p>
      <w:pPr>
        <w:pStyle w:val="923"/>
        <w:numPr>
          <w:ilvl w:val="0"/>
          <w:numId w:val="28"/>
        </w:numPr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Почетной Грамотой главы МСУ – 1 чел.</w:t>
      </w:r>
      <w:r/>
    </w:p>
    <w:p>
      <w:pPr>
        <w:pStyle w:val="923"/>
        <w:numPr>
          <w:ilvl w:val="0"/>
          <w:numId w:val="28"/>
        </w:numPr>
        <w:ind w:left="0" w:right="0" w:firstLine="992"/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Благодарственным письмом администрации Бутурлинского муниципального округа – 40 чел.</w:t>
      </w:r>
      <w:r/>
    </w:p>
    <w:p>
      <w:pPr>
        <w:pStyle w:val="923"/>
        <w:numPr>
          <w:ilvl w:val="0"/>
          <w:numId w:val="28"/>
        </w:numPr>
        <w:ind w:left="0" w:right="0" w:firstLine="992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Благодарственным письмом Совета Депутатов Бутурлинского муниципального округа – 6 чел.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ind w:left="0" w:right="0" w:firstLine="992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/>
        <w:jc w:val="center"/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Результативность деятельности органа опеки и попечительства совершеннолетних граждан администрации Бутурлинского муниципального округа Нижегородской области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946"/>
        <w:ind w:left="644"/>
        <w:jc w:val="center"/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квартал 2026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</w:p>
    <w:tbl>
      <w:tblPr>
        <w:tblStyle w:val="917"/>
        <w:tblW w:w="101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2"/>
        <w:gridCol w:w="9549"/>
      </w:tblGrid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езультативност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ь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органа опеки и попечительства совершеннолетних граждан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Бут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урлинского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Нижегородской области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 отчетный период жалоб на работу специалистов органа опеки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попечительства совершеннолетних граждан не поступало.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исполненных документов, контролируемых поручений, не рассмотренных в установленные сроки обращений/заявлений в органе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опеки и попечительства совершеннолетних граждан,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нет.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марта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года на учете в органе опеки и попечительства совершеннолетних граждан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состоит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74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238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недееспособных/ограниченно дееспособных граждан находится под опекой/попечительством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 юридических лиц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недееспособных/ограниченно дееспособных граждан находится под опекой/попечительством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физических лиц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квартала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года в орган опеки и попечительства сов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ершеннолетних граждан поступило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обращени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/заявлени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физических и юридических лиц.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 опеки и попечительства сов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ершеннолетних граждан в течение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квартала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осуществлял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взаимодейств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 следующими учреждениями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организациями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20"/>
              <w:jc w:val="both"/>
              <w:tabs>
                <w:tab w:val="left" w:pos="708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 xml:space="preserve">Министерство</w:t>
            </w:r>
            <w:r>
              <w:rPr>
                <w:sz w:val="27"/>
                <w:szCs w:val="27"/>
              </w:rPr>
              <w:t xml:space="preserve">м</w:t>
            </w:r>
            <w:r>
              <w:rPr>
                <w:sz w:val="27"/>
                <w:szCs w:val="27"/>
              </w:rPr>
              <w:t xml:space="preserve"> социального развития и семейной политики Нижегородской области;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УСЗН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Бутурлинского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Автономной некоммерческой организацией «Служба защиты прав лиц, страдающих психическими расстройствами,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УСЗН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Сормовского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района г.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Новгорода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Администрацией Большемурашкинского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Государственным бюджетным учреждением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Бутурлинский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психоневрологический интернат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квартала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органом опеки и попечительства совершеннолетних граждан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был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подготовлен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проект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постановлений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Бутурлинского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ципального 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Нижегородской области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следующим вопросам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: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-1 проект постановления о внесении изменений в Состав комиссии по организации о осуществлению деятельности по опеке и попечительству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проект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об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освобождении от исполнения обязанностей опекуна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 возложении исполнения обязанностей опекуна на учреждение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- 1 проект постановления о проведении проверок условий жизни совершеннолетнего недееспособного гражданина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15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  <w:t xml:space="preserve"> проекта постановлений</w:t>
            </w:r>
            <w:r>
              <w:rPr>
                <w:sz w:val="27"/>
                <w:szCs w:val="27"/>
              </w:rPr>
              <w:t xml:space="preserve"> о прекращении опеки;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проект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 выдаче разрешения опекуну на выдачу доверенности для представления интересов недееспособн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граждан при заключении договор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 предоставлении социальных услуг, дополнительных соглашений к договорам о предоставлении социальных услуг, а также совершения всех действий, связанных с данным поручением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-2 проекта постановлений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выдаче разрешения на переоформление наследуемых банковских счетов на недееспособных граждан;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- 1 проект постановления о выдаче разрешения на совершение сделки по отчуждению имущества недееспособно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гражданин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 отчетный период органом опеки и попечительства совершеннолетних граждан было рассмотрено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отчет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опекунов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(попечителей)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хранении, об использовании имущества совершеннолетних недееспособных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(ограниченно дееспособных)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граждан и управлении этим имуществом.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органе опеки и попечительства совершеннолетних граждан в течение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I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квартала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года было проведено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комиссии по организации и осуществлению деятельности по опеке и попечительству в отношении совершеннолетних граждан.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6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вопросов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квартала 2026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года органом опеки и попечительства совершеннолетних граждан был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проверок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условий жизни совершеннолетних недееспособных и ограниченно дееспособных граждан, проживающих на территории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Бутурлинского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 Нижегород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ской области,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исполнения своих обязанностей в отношении совершеннолетних граждан.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 результатам проверок нарушений не выявлено, предписаний опекунам/попечителям не вынесено, составлены акты проверок.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Специалистами органа опеки и попечительства совершеннолетних граждан соблюдались правила внутреннего трудового распорядка.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Кодекс служебной этики специалистами органа опеки и попечительства совершеннолетних граждан соблюдается.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9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Фактов привлечения специалистов органа опеки и попечительства совершеннолетних граждан к дисциплинарной ответственности нет.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Отчет сектора делопроизводст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и информатизации администрации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Бутурлинского муниципального округа за 1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квартал 2026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На протяжении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квартала 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года сектором была проведена работа по направлениям: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1. Работа с обращениями граждан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tbl>
      <w:tblPr>
        <w:tblW w:w="945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804"/>
        <w:gridCol w:w="1276"/>
      </w:tblGrid>
      <w:tr>
        <w:tblPrEx/>
        <w:trPr>
          <w:trHeight w:val="1065"/>
        </w:trPr>
        <w:tc>
          <w:tcPr>
            <w:tcW w:w="6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Поступившие обращения за отчетный период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tcW w:w="680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Письменные, устные, электронные, через личный прием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Тематика обращений разнообразна: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вопросы водоснабжения, газоснабжения, ремонта крыш домов, пассажирских перевозок,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благоустройства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освещения, разъяснения правил застройки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 др.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Обращения граждан принимались в письменной форме (нарочно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электронно) и в ходе личного приема главой МСУ.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Все обращения рассмотрены в установленный срок в соответствии с Федеральным законом от 02.05.2006 № 59-ФЗ «О порядке рассмотрения обращений граждан Российской Федерации».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Ежемесячно производится выгрузка результатов рассмотренных обращений граждан на портал ССТУ.РФ.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Работа со служебной корреспонденцией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2.1. Обработка и передача на исполнение входящей и исходящей документации: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1418"/>
      </w:tblGrid>
      <w:tr>
        <w:tblPrEx/>
        <w:trPr>
          <w:jc w:val="center"/>
          <w:trHeight w:val="810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left="-84"/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Наименование корреспонденции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квартал 2026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429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left="-84"/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Входящая корреспонденция, в т.ч.: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724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708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left="12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-входящая корреспонденция, поступившая нарочно и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694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1029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письма от министерств, ведомств, организаций, предприятий, учреждений Нижегородской области, зарегистрированных в СЭДО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Регистрация в подразделении не ведется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12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442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-соглашения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Исходящая корреспонденция, в т.ч.: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1737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495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-постановления администрации Бутурлинского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378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737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распоряжения администрации Бутурлинского муниципального округа по финансовым и общим вопросам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56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481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распоряжения по личному составу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169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761"/>
        </w:trPr>
        <w:tc>
          <w:tcPr>
            <w:tcW w:w="694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письма, ответы на запросы, ходатайства в министерства, ведомства, организации, предприятия, учреждения Нижегородской области, ответы на обращения граждан, служебные записки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Исх-347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781"/>
        </w:trPr>
        <w:tc>
          <w:tcPr>
            <w:tcW w:w="69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Вн-787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Исходящая корреспонденция главы МСУ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Бутурлинского муниципального округа, в т.ч.: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-постановления главы МСУ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-распоряжения главы МСУ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226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-письма главы МСУ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6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ВСЕГО корреспонденции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2461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2.2.Разработка проектов постановлений, распоряжений администрации Бутурлинского муниципального округа, ответов на запросы.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2.3. В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квартале 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года запротоколировано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оперативных совещани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при главе МСУ Бутурлинского муниципального округа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. Работа с но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рмативными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правовыми актами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923"/>
        <w:ind w:left="0" w:right="0" w:firstLine="992"/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За 1 квартал 2026года обработано и направлено :</w:t>
      </w:r>
      <w:r/>
    </w:p>
    <w:p>
      <w:pPr>
        <w:pStyle w:val="923"/>
        <w:ind w:left="0" w:right="0" w:firstLine="992"/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- в государственно-правовой департамент Нижегородской области для включения в регистр электронных копий муниципальных правовых актов с электронной цифровой подписью –  132 муниципальных правовых акта администрации (январь - 56, февраль - 43, март-33), кото</w:t>
      </w:r>
      <w:r>
        <w:rPr>
          <w:rFonts w:ascii="Times New Roman" w:hAnsi="Times New Roman"/>
          <w:sz w:val="28"/>
          <w:szCs w:val="28"/>
          <w:highlight w:val="none"/>
        </w:rPr>
        <w:t xml:space="preserve">рые  размещены  на официальном сайте администрации Бутурлинского муниципального округа Нижегородской области и в сетевом издании «Бутурлинская жизнь – Online» -бутурлинская жизнь.рф.</w:t>
      </w:r>
      <w:r/>
    </w:p>
    <w:p>
      <w:pPr>
        <w:pStyle w:val="923"/>
        <w:ind w:left="0" w:right="0" w:firstLine="992"/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 Передано в МБУК «Бутурлинская межпоселенческая централизованная библиотечная система»  для  обнародования и дальнейшего хранения 132 МПА. На все постановления составлены акты обнародования.</w:t>
      </w:r>
      <w:r/>
    </w:p>
    <w:p>
      <w:pPr>
        <w:pStyle w:val="923"/>
        <w:ind w:left="0" w:right="0" w:firstLine="992"/>
        <w:jc w:val="both"/>
        <w:spacing w:before="0" w:beforeAutospacing="0" w:after="0" w:afterAutospacing="0"/>
      </w:pPr>
      <w:r>
        <w:rPr>
          <w:rFonts w:ascii="Times New Roman" w:hAnsi="Times New Roman"/>
          <w:sz w:val="28"/>
          <w:szCs w:val="28"/>
          <w:highlight w:val="none"/>
        </w:rPr>
        <w:t xml:space="preserve"> Ведется работа по дополнительным устным запросам государственного правового департамента Нижегородской области .</w:t>
      </w:r>
      <w:r/>
    </w:p>
    <w:p>
      <w:pPr>
        <w:pStyle w:val="923"/>
        <w:ind w:left="0" w:right="0" w:firstLine="992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ind w:left="0" w:right="0" w:firstLine="992"/>
        <w:jc w:val="both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2.5.Работа с архивными документами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23"/>
        <w:ind w:left="0" w:right="0" w:firstLine="992"/>
        <w:jc w:val="both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Подготовлены и сданы в сектор по делам архивов документы администрации Бутурлинского муниципального района постоянного срока хранения за 2020 год, фондовая опись документов  за 2023 год.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contextualSpacing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3. Работа с муниципальными программами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Проведен анализ реализации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«Социальная поддержка граждан Бутурлинского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Нижегородской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несены изменения в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jc w:val="both"/>
        <w:spacing w:before="120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.Информационное обеспечение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Осуществлялась установка, настройка, обновление, обучение и консультация сотрудников по работе практически всего программного обеспечения, используемого в отраслевых подразделениях администрации.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Осуществлялось администрирование компьютерных сетей, обслуживание и текущий ремонт оргтехники, находящейся в эксплуатации Совета депутатов Бутурлинского муниципального округа, а также всех отраслевых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(функциональных)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подразделений администрации округа (за исключением финансового управления).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видеоконференцсвязей.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Отредактированы и опубликованы материалы на сайт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Бутурлинского муниципального округа (нормативн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акты администрации округа, Совета депутатов округа, новостных статей, объявлений и пр.).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отраслевым подразделениям администрации по осуществлению работы в системе электронного документооборота.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Сопровождение деятельности главы местного самоуправления округа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Ежедневный прием граждан.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процесса телефонных переговоров с главой местного самоуправления и другими специалистами администрации округа.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исходящей корреспонденции администрации округа посредством факсимильной связи.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поручений главы местного самоуправления округа.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контроля исполнения графика дежурств специалист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округа в выходные и праздничные дни.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Отчёт специалиста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отдела обслуживания организационно-правового управления администрации Бутурлинского мун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ципального округа Нижегородской области (осуществляющего работу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по связям с общественностью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за 1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 квартал 2026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9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Подготовлен и направлен отчет в министерство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внутренней региональной и муниципальной политики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 количестве обработанных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обращений граждан по итогам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1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квартала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2. Еженедельно в министерство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внутренней региональной и муниципальной политики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направлялась информация о мероприятиях,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запланированных к проведению Бутурлинским муниципальным округом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Проведена ежедневная работа с сообщениями граждан, поступающи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в рамках информационно-аналитической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системы «Инцидент-менеджмент» 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через платформу обратной связи (ПОС) «Госуслуги. Решаем вместе»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Проведена ежедневная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работа по освещению на официальном сайте администрации и страницах в социальных сетях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всех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значимых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событий 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мероприятий, проводимых на территории Бутурлинского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Принято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обучающем вебинаре программы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«Лаборатория госпабликов 2026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 канале МАХ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ведению официальных страниц органов местного самоуправления и подведомственных организаций в социальных сетях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 тему «Тактика перевода подписчиков в МАХ из ТГ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На постоянной основе проводилась работа по сотрудничеству с газетой «Бутурлинская жизнь» с целью информационного освещения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СМИ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деятельности администрации округа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Подготовлено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поздравлени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главы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местного самоуправления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Бутурлинского муниципального округа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газеты «Бутурлинская жизнь»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Ежемесячно составлялся план организационно-массо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вой работы администрации округа и был составлен план основных мероприятий Бутурлинского муниципального округа на 2027 год, предоставленный в Совет муниципальных образований Нижегородской области и министерство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нутренней региональной и муниципальной политики Нижегородской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Ежедневно ведётся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работа с администраторами госпабликов Буту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рлинского муниципального округа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Освещены визиты депута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Государственной Думы Федерального Собрания Российской Федерации А.Ю. Станкевича и депутата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Законодательного Собрания Нижегородской области В.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Пакова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Бутурлинский округ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02"/>
        <w:ind w:firstLine="567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участии организационно-правового управления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проведены следующие мероприятия: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02"/>
        <w:ind w:left="0" w:firstLine="567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Встреча главы МСУ Бутурлинского муниципального округа Петровой М.Ф. со студентами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ГАПОУ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Перевозский строительный колледж».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Центр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профессионального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Бутурлинский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сельскохозяйственный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firstLine="567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техникум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Патриотическое мероприятие «Трудовой подвиг страны в послевоенные годы» в рамках областного проекта «Помнить, чтобы жить»,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Встреча поколений «Воинам-интернационалистам посвящается...», посвящённый 37-й годовщине вывода советских войск из Афганистана,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Торжественное мероприятие, посвящённое Дню защитника Отечества,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78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Праздничное мероприятие, посвящённое Международному женскому дню,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78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Подведение итогов межмуниципального творческого конкурса «Мой папа самый лучший», организованного при поддержке депутата Законодательного Собрания Нижегородской области Пакова В.Н.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788" w:leader="none"/>
          <w:tab w:val="left" w:pos="102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Праздничное мероприятие, посвящённое Юбилейной дате (40 лет) МБДОУ д/с «Теремок»,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788" w:leader="none"/>
          <w:tab w:val="left" w:pos="863" w:leader="none"/>
          <w:tab w:val="left" w:pos="102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X Бутурлинские чтения имени Героя Советского Союза, маршала артиллерии Василия Ивановича Казакова,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788" w:leader="none"/>
          <w:tab w:val="left" w:pos="863" w:leader="none"/>
          <w:tab w:val="left" w:pos="102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Торжественное мероприятие, посвящённое Дню работника культуры.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 w:eastAsia="ru-RU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Отчет отдела культуры и туризма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организационно-правового управления администрации Бутурлинского муниципального округа Нижегородской области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квартал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2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работа отдела культуры и туризма проводилась в соответствии со следующими целями и задачами: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в рамках реализации ежегодного Послания Президента РФ Федеральному Собранию, национального проекта «</w:t>
      </w:r>
      <w:r>
        <w:rPr>
          <w:rFonts w:ascii="Times New Roman" w:hAnsi="Times New Roman" w:cs="Times New Roman"/>
          <w:sz w:val="28"/>
          <w:szCs w:val="28"/>
        </w:rPr>
        <w:t xml:space="preserve">Семья</w:t>
      </w:r>
      <w:r>
        <w:rPr>
          <w:rFonts w:ascii="Times New Roman" w:hAnsi="Times New Roman" w:cs="Times New Roman"/>
          <w:sz w:val="28"/>
          <w:szCs w:val="28"/>
        </w:rPr>
        <w:t xml:space="preserve">», программы «Пушкинская карта», областных и муниципальных программ по развитию культуры, туризма, молодёжной, семейной политике, патриотическому и духовно-нравственному воспитанию,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профилактике асоциальных</w:t>
      </w:r>
      <w:r>
        <w:rPr>
          <w:rFonts w:ascii="Times New Roman" w:hAnsi="Times New Roman" w:cs="Times New Roman"/>
          <w:sz w:val="28"/>
          <w:szCs w:val="28"/>
        </w:rPr>
        <w:t xml:space="preserve"> явлений, других социальных программ, мероприятий по профила</w:t>
      </w:r>
      <w:r>
        <w:rPr>
          <w:rFonts w:ascii="Times New Roman" w:hAnsi="Times New Roman" w:cs="Times New Roman"/>
          <w:sz w:val="28"/>
          <w:szCs w:val="28"/>
        </w:rPr>
        <w:t xml:space="preserve">ктике экстремизма и терроризма.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, посвященного празднованию 81</w:t>
      </w:r>
      <w:r>
        <w:rPr>
          <w:rFonts w:ascii="Times New Roman" w:hAnsi="Times New Roman" w:cs="Times New Roman"/>
          <w:sz w:val="28"/>
          <w:szCs w:val="28"/>
        </w:rPr>
        <w:t xml:space="preserve">-й годовщине Победы в Великой Отеч</w:t>
      </w:r>
      <w:r>
        <w:rPr>
          <w:rFonts w:ascii="Times New Roman" w:hAnsi="Times New Roman" w:cs="Times New Roman"/>
          <w:sz w:val="28"/>
          <w:szCs w:val="28"/>
        </w:rPr>
        <w:t xml:space="preserve">ественной войне 1941-1945 гг.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Проведение цикла мероприятий, посвященных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защитника Отечества 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Выполнение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 работников учреждений культуры в соответствии с расчетом показателя министерства к</w:t>
      </w:r>
      <w:r>
        <w:rPr>
          <w:rFonts w:ascii="Times New Roman" w:hAnsi="Times New Roman" w:cs="Times New Roman"/>
          <w:sz w:val="28"/>
          <w:szCs w:val="28"/>
        </w:rPr>
        <w:t xml:space="preserve">ультуры Нижегородской области.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Расширение инфраструктуры услуг, предоставляемых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культуры для</w:t>
      </w:r>
      <w:r>
        <w:rPr>
          <w:rFonts w:ascii="Times New Roman" w:hAnsi="Times New Roman" w:cs="Times New Roman"/>
          <w:sz w:val="28"/>
          <w:szCs w:val="28"/>
        </w:rPr>
        <w:t xml:space="preserve"> населения, гостей и туристов.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Развитие и поддержка детского музыкальн</w:t>
      </w:r>
      <w:r>
        <w:rPr>
          <w:rFonts w:ascii="Times New Roman" w:hAnsi="Times New Roman" w:cs="Times New Roman"/>
          <w:sz w:val="28"/>
          <w:szCs w:val="28"/>
        </w:rPr>
        <w:t xml:space="preserve">о-художественного образования.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популяризация историко</w:t>
      </w:r>
      <w:r>
        <w:rPr>
          <w:rFonts w:ascii="Times New Roman" w:hAnsi="Times New Roman" w:cs="Times New Roman"/>
          <w:sz w:val="28"/>
          <w:szCs w:val="28"/>
        </w:rPr>
        <w:t xml:space="preserve">-культурного наследия Бутурлинского округа, Нижегородского региона в праздниках, промыслах, ремеслах, традиционной народн</w:t>
      </w:r>
      <w:r>
        <w:rPr>
          <w:rFonts w:ascii="Times New Roman" w:hAnsi="Times New Roman" w:cs="Times New Roman"/>
          <w:sz w:val="28"/>
          <w:szCs w:val="28"/>
        </w:rPr>
        <w:t xml:space="preserve">ой культуре, печатных изданиях.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Развитие культурного обмена между муниципальными образованиями Нижегородской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между регионами России.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организации досуга и отдыха, развития творческих способностей и дарований, библиотечного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музейного обслуживания населения 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проведенные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Праздничный Рождественский концерт «Свет Рождества»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«Трудовой подвиг страны в послевоенные годы» в рамках проекта «Помнить, чтобы жить» (реализуется Советом ветеранов  Нижегородской области при поддержке Правительства Нижегородской области»;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Неделя детской и юношеской книги;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Цикл мероприятий в рамках празднования масленицы «Широкая масленица по-бутурлински»;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Цикл мероприятий в рамках Международного женского дня;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Патриотический проект «Бутурлинские чтения имени Героя Советского Союза, маршала артиллерии В.И. Казакова»;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День работника культуры;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5"/>
        </w:numPr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ч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ш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ш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left="0" w:right="0"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постоянной основе велась работа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Нижегородской обла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исполнению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национального проекта «Семья»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направленного на реализацию проекта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«Капитальный ремонт здания МБУК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Бутурлинский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Дворец культуры», расположенного по адресу: Ниж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егородская область,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р-н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Бутурлинский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р.п. Бутурлино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Ленина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105».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будут проводится с 2026-2027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992" w:bottom="709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ucida Sans Unicode">
    <w:panose1 w:val="020B060203050402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rPr>
        <w:rStyle w:val="931"/>
      </w:rPr>
      <w:framePr w:wrap="around" w:vAnchor="text" w:hAnchor="margin" w:xAlign="right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920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1" w:hanging="720"/>
      </w:pPr>
      <w:rPr>
        <w:rFonts w:hint="default" w:eastAsia="Times New Roman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2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7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16"/>
  </w:num>
  <w:num w:numId="18">
    <w:abstractNumId w:val="18"/>
  </w:num>
  <w:num w:numId="19">
    <w:abstractNumId w:val="1"/>
  </w:num>
  <w:num w:numId="20">
    <w:abstractNumId w:val="7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05"/>
    <w:link w:val="90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6">
    <w:name w:val="Heading 2 Char"/>
    <w:basedOn w:val="905"/>
    <w:link w:val="904"/>
    <w:uiPriority w:val="9"/>
    <w:rPr>
      <w:rFonts w:ascii="Liberation Sans" w:hAnsi="Liberation Sans" w:eastAsia="Liberation Sans" w:cs="Liberation Sans"/>
      <w:sz w:val="34"/>
    </w:rPr>
  </w:style>
  <w:style w:type="paragraph" w:styleId="737">
    <w:name w:val="Heading 3"/>
    <w:basedOn w:val="902"/>
    <w:next w:val="902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38">
    <w:name w:val="Heading 3 Char"/>
    <w:basedOn w:val="905"/>
    <w:link w:val="73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9">
    <w:name w:val="Heading 4"/>
    <w:basedOn w:val="902"/>
    <w:next w:val="902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0">
    <w:name w:val="Heading 4 Char"/>
    <w:basedOn w:val="905"/>
    <w:link w:val="73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1">
    <w:name w:val="Heading 5"/>
    <w:basedOn w:val="902"/>
    <w:next w:val="902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2">
    <w:name w:val="Heading 5 Char"/>
    <w:basedOn w:val="905"/>
    <w:link w:val="74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43">
    <w:name w:val="Heading 6"/>
    <w:basedOn w:val="902"/>
    <w:next w:val="902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4">
    <w:name w:val="Heading 6 Char"/>
    <w:basedOn w:val="905"/>
    <w:link w:val="74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5">
    <w:name w:val="Heading 7"/>
    <w:basedOn w:val="902"/>
    <w:next w:val="902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6">
    <w:name w:val="Heading 7 Char"/>
    <w:basedOn w:val="905"/>
    <w:link w:val="7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7">
    <w:name w:val="Heading 8"/>
    <w:basedOn w:val="902"/>
    <w:next w:val="902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8">
    <w:name w:val="Heading 8 Char"/>
    <w:basedOn w:val="905"/>
    <w:link w:val="74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9">
    <w:name w:val="Heading 9"/>
    <w:basedOn w:val="902"/>
    <w:next w:val="902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0">
    <w:name w:val="Heading 9 Char"/>
    <w:basedOn w:val="905"/>
    <w:link w:val="74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1">
    <w:name w:val="Title Char"/>
    <w:basedOn w:val="905"/>
    <w:link w:val="913"/>
    <w:uiPriority w:val="10"/>
    <w:rPr>
      <w:sz w:val="48"/>
      <w:szCs w:val="48"/>
    </w:rPr>
  </w:style>
  <w:style w:type="paragraph" w:styleId="752">
    <w:name w:val="Subtitle"/>
    <w:basedOn w:val="902"/>
    <w:next w:val="902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5"/>
    <w:link w:val="752"/>
    <w:uiPriority w:val="11"/>
    <w:rPr>
      <w:sz w:val="24"/>
      <w:szCs w:val="24"/>
    </w:rPr>
  </w:style>
  <w:style w:type="paragraph" w:styleId="754">
    <w:name w:val="Quote"/>
    <w:basedOn w:val="902"/>
    <w:next w:val="902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2"/>
    <w:next w:val="902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5"/>
    <w:link w:val="920"/>
    <w:uiPriority w:val="99"/>
  </w:style>
  <w:style w:type="character" w:styleId="759">
    <w:name w:val="Footer Char"/>
    <w:basedOn w:val="905"/>
    <w:link w:val="932"/>
    <w:uiPriority w:val="99"/>
  </w:style>
  <w:style w:type="paragraph" w:styleId="760">
    <w:name w:val="Caption"/>
    <w:basedOn w:val="902"/>
    <w:next w:val="902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905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4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5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9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0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6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7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0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1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61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62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3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64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65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6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Footnote Text Char"/>
    <w:link w:val="941"/>
    <w:uiPriority w:val="99"/>
    <w:rPr>
      <w:sz w:val="18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5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</w:style>
  <w:style w:type="paragraph" w:styleId="903">
    <w:name w:val="Heading 1"/>
    <w:basedOn w:val="902"/>
    <w:next w:val="902"/>
    <w:link w:val="927"/>
    <w:qFormat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904">
    <w:name w:val="Heading 2"/>
    <w:basedOn w:val="902"/>
    <w:link w:val="928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character" w:styleId="908">
    <w:name w:val="Hyperlink"/>
    <w:basedOn w:val="905"/>
    <w:uiPriority w:val="99"/>
    <w:unhideWhenUsed/>
    <w:rPr>
      <w:color w:val="0000ff" w:themeColor="hyperlink"/>
      <w:u w:val="single"/>
    </w:rPr>
  </w:style>
  <w:style w:type="paragraph" w:styleId="909" w:customStyle="1">
    <w:name w:val="Style3"/>
    <w:basedOn w:val="902"/>
    <w:pPr>
      <w:ind w:firstLine="706"/>
      <w:spacing w:after="0" w:line="319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Style6"/>
    <w:basedOn w:val="902"/>
    <w:pPr>
      <w:ind w:firstLine="350"/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Style7"/>
    <w:basedOn w:val="902"/>
    <w:pPr>
      <w:ind w:hanging="341"/>
      <w:spacing w:after="0" w:line="33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11"/>
    <w:basedOn w:val="905"/>
    <w:rPr>
      <w:rFonts w:ascii="Times New Roman" w:hAnsi="Times New Roman" w:cs="Times New Roman"/>
      <w:sz w:val="26"/>
      <w:szCs w:val="26"/>
    </w:rPr>
  </w:style>
  <w:style w:type="paragraph" w:styleId="913">
    <w:name w:val="Title"/>
    <w:basedOn w:val="902"/>
    <w:link w:val="914"/>
    <w:qFormat/>
    <w:pPr>
      <w:jc w:val="center"/>
      <w:spacing w:after="0" w:line="240" w:lineRule="auto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14" w:customStyle="1">
    <w:name w:val="Название Знак"/>
    <w:basedOn w:val="905"/>
    <w:link w:val="913"/>
    <w:rPr>
      <w:rFonts w:ascii="Cambria" w:hAnsi="Cambria" w:eastAsia="Times New Roman" w:cs="Times New Roman"/>
      <w:b/>
      <w:bCs/>
      <w:sz w:val="32"/>
      <w:szCs w:val="32"/>
    </w:rPr>
  </w:style>
  <w:style w:type="paragraph" w:styleId="915">
    <w:name w:val="Body Text Indent"/>
    <w:basedOn w:val="902"/>
    <w:link w:val="916"/>
    <w:unhideWhenUsed/>
    <w:pPr>
      <w:ind w:left="705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916" w:customStyle="1">
    <w:name w:val="Основной текст с отступом Знак"/>
    <w:basedOn w:val="905"/>
    <w:link w:val="915"/>
    <w:rPr>
      <w:rFonts w:ascii="Times New Roman" w:hAnsi="Times New Roman" w:eastAsia="Times New Roman" w:cs="Times New Roman"/>
      <w:sz w:val="28"/>
      <w:szCs w:val="20"/>
      <w:lang w:eastAsia="ar-SA"/>
    </w:rPr>
  </w:style>
  <w:style w:type="table" w:styleId="917">
    <w:name w:val="Table Grid"/>
    <w:basedOn w:val="90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18" w:customStyle="1">
    <w:name w:val="msonormalcxspmiddle"/>
    <w:basedOn w:val="9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apple-converted-space"/>
    <w:basedOn w:val="905"/>
  </w:style>
  <w:style w:type="paragraph" w:styleId="920">
    <w:name w:val="Header"/>
    <w:basedOn w:val="902"/>
    <w:link w:val="921"/>
    <w:unhideWhenUsed/>
    <w:pPr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921" w:customStyle="1">
    <w:name w:val="Верхний колонтитул Знак"/>
    <w:basedOn w:val="905"/>
    <w:link w:val="920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922">
    <w:name w:val="No Spacing"/>
    <w:uiPriority w:val="1"/>
    <w:qFormat/>
    <w:pPr>
      <w:spacing w:after="0" w:line="240" w:lineRule="auto"/>
    </w:pPr>
  </w:style>
  <w:style w:type="paragraph" w:styleId="923">
    <w:name w:val="Normal (Web)"/>
    <w:basedOn w:val="90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Абзац списка1"/>
    <w:basedOn w:val="902"/>
    <w:pPr>
      <w:contextualSpacing/>
      <w:ind w:left="720"/>
    </w:pPr>
    <w:rPr>
      <w:rFonts w:ascii="Calibri" w:hAnsi="Calibri" w:eastAsia="Times New Roman" w:cs="Times New Roman"/>
    </w:rPr>
  </w:style>
  <w:style w:type="paragraph" w:styleId="925">
    <w:name w:val="Body Text"/>
    <w:basedOn w:val="902"/>
    <w:link w:val="926"/>
    <w:unhideWhenUsed/>
    <w:pPr>
      <w:spacing w:after="120"/>
    </w:pPr>
  </w:style>
  <w:style w:type="character" w:styleId="926" w:customStyle="1">
    <w:name w:val="Основной текст Знак"/>
    <w:basedOn w:val="905"/>
    <w:link w:val="925"/>
  </w:style>
  <w:style w:type="character" w:styleId="927" w:customStyle="1">
    <w:name w:val="Заголовок 1 Знак"/>
    <w:basedOn w:val="905"/>
    <w:link w:val="903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928" w:customStyle="1">
    <w:name w:val="Заголовок 2 Знак"/>
    <w:basedOn w:val="905"/>
    <w:link w:val="904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29">
    <w:name w:val="Body Text Indent 2"/>
    <w:basedOn w:val="902"/>
    <w:link w:val="930"/>
    <w:pPr>
      <w:ind w:firstLine="78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30" w:customStyle="1">
    <w:name w:val="Основной текст с отступом 2 Знак"/>
    <w:basedOn w:val="905"/>
    <w:link w:val="92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31">
    <w:name w:val="page number"/>
    <w:basedOn w:val="905"/>
  </w:style>
  <w:style w:type="paragraph" w:styleId="932">
    <w:name w:val="Footer"/>
    <w:basedOn w:val="902"/>
    <w:link w:val="93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 w:customStyle="1">
    <w:name w:val="Нижний колонтитул Знак"/>
    <w:basedOn w:val="905"/>
    <w:link w:val="93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Прилож№"/>
    <w:basedOn w:val="902"/>
    <w:next w:val="935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35" w:customStyle="1">
    <w:name w:val="ПриложЗаг"/>
    <w:basedOn w:val="902"/>
    <w:next w:val="902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36">
    <w:name w:val="HTML Preformatted"/>
    <w:basedOn w:val="902"/>
    <w:link w:val="937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37" w:customStyle="1">
    <w:name w:val="Стандартный HTML Знак"/>
    <w:basedOn w:val="905"/>
    <w:link w:val="936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8">
    <w:name w:val="Balloon Text"/>
    <w:basedOn w:val="902"/>
    <w:link w:val="939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39" w:customStyle="1">
    <w:name w:val="Текст выноски Знак"/>
    <w:basedOn w:val="905"/>
    <w:link w:val="938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0" w:customStyle="1">
    <w:name w:val="заголовок 3"/>
    <w:basedOn w:val="902"/>
    <w:next w:val="902"/>
    <w:pPr>
      <w:ind w:left="-108"/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1">
    <w:name w:val="footnote text"/>
    <w:basedOn w:val="902"/>
    <w:link w:val="9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2" w:customStyle="1">
    <w:name w:val="Текст сноски Знак"/>
    <w:basedOn w:val="905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3">
    <w:name w:val="footnote reference"/>
    <w:semiHidden/>
    <w:rPr>
      <w:vertAlign w:val="superscript"/>
    </w:rPr>
  </w:style>
  <w:style w:type="paragraph" w:styleId="944" w:customStyle="1">
    <w:name w:val="Знак Знак Знак Знак 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paragraph" w:styleId="945" w:customStyle="1">
    <w:name w:val="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paragraph" w:styleId="946">
    <w:name w:val="List Paragraph"/>
    <w:basedOn w:val="902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</w:rPr>
  </w:style>
  <w:style w:type="paragraph" w:styleId="947">
    <w:name w:val="Body Text 3"/>
    <w:basedOn w:val="902"/>
    <w:link w:val="948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48" w:customStyle="1">
    <w:name w:val="Основной текст 3 Знак"/>
    <w:basedOn w:val="905"/>
    <w:link w:val="94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 w:bidi="hi-IN"/>
    </w:rPr>
  </w:style>
  <w:style w:type="paragraph" w:styleId="950" w:customStyle="1">
    <w:name w:val="Содержимое таблицы"/>
    <w:basedOn w:val="902"/>
    <w:pPr>
      <w:spacing w:after="0" w:line="240" w:lineRule="auto"/>
      <w:widowControl w:val="off"/>
      <w:suppressLineNumbers/>
    </w:pPr>
    <w:rPr>
      <w:rFonts w:ascii="Times New Roman" w:hAnsi="Times New Roman" w:eastAsia="Lucida Sans Unicode" w:cs="Times New Roman"/>
      <w:sz w:val="24"/>
      <w:szCs w:val="20"/>
      <w:lang w:eastAsia="ru-RU"/>
    </w:rPr>
  </w:style>
  <w:style w:type="paragraph" w:styleId="951" w:customStyle="1">
    <w:name w:val="Абзац списка2"/>
    <w:basedOn w:val="902"/>
    <w:pPr>
      <w:contextualSpacing/>
      <w:ind w:left="720"/>
    </w:pPr>
    <w:rPr>
      <w:rFonts w:ascii="Calibri" w:hAnsi="Calibri" w:eastAsia="Times New Roman" w:cs="Times New Roman"/>
    </w:rPr>
  </w:style>
  <w:style w:type="paragraph" w:styleId="952" w:customStyle="1">
    <w:name w:val="Абзац списка3"/>
    <w:basedOn w:val="902"/>
    <w:pPr>
      <w:contextualSpacing/>
      <w:ind w:left="720"/>
    </w:pPr>
    <w:rPr>
      <w:rFonts w:ascii="Calibri" w:hAnsi="Calibri" w:eastAsia="Times New Roman" w:cs="Times New Roman"/>
    </w:rPr>
  </w:style>
  <w:style w:type="character" w:styleId="953">
    <w:name w:val="FollowedHyperlink"/>
    <w:basedOn w:val="905"/>
    <w:uiPriority w:val="99"/>
    <w:semiHidden/>
    <w:unhideWhenUsed/>
    <w:rPr>
      <w:color w:val="800080" w:themeColor="followedHyperlink"/>
      <w:u w:val="single"/>
    </w:rPr>
  </w:style>
  <w:style w:type="paragraph" w:styleId="954" w:customStyle="1">
    <w:name w:val="Комментарий"/>
    <w:basedOn w:val="902"/>
    <w:next w:val="902"/>
    <w:uiPriority w:val="99"/>
    <w:pPr>
      <w:ind w:left="170"/>
      <w:jc w:val="both"/>
      <w:spacing w:before="75" w:after="0" w:line="240" w:lineRule="auto"/>
      <w:shd w:val="clear" w:color="auto" w:fill="f0f0f0"/>
      <w:widowControl w:val="off"/>
    </w:pPr>
    <w:rPr>
      <w:rFonts w:ascii="Arial" w:hAnsi="Arial" w:eastAsia="Times New Roman" w:cs="Arial"/>
      <w:color w:val="353842"/>
      <w:sz w:val="24"/>
      <w:szCs w:val="24"/>
      <w:lang w:eastAsia="ru-RU"/>
    </w:rPr>
  </w:style>
  <w:style w:type="table" w:styleId="955" w:customStyle="1">
    <w:name w:val="Сетка таблицы1"/>
    <w:basedOn w:val="906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56" w:customStyle="1">
    <w:name w:val="Абзац списка4"/>
    <w:basedOn w:val="902"/>
    <w:pPr>
      <w:contextualSpacing/>
      <w:ind w:left="720"/>
    </w:pPr>
    <w:rPr>
      <w:rFonts w:ascii="Calibri" w:hAnsi="Calibri" w:eastAsia="Times New Roman" w:cs="Times New Roman"/>
    </w:rPr>
  </w:style>
  <w:style w:type="numbering" w:styleId="957" w:customStyle="1">
    <w:name w:val="Нет списка1"/>
    <w:next w:val="907"/>
    <w:semiHidden/>
  </w:style>
  <w:style w:type="table" w:styleId="958" w:customStyle="1">
    <w:name w:val="Сетка таблицы2"/>
    <w:basedOn w:val="906"/>
    <w:next w:val="91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9" w:customStyle="1">
    <w:name w:val="Знак Знак Знак Знак 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paragraph" w:styleId="960" w:customStyle="1">
    <w:name w:val="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paragraph" w:styleId="961" w:customStyle="1">
    <w:name w:val="msonormalcxspmiddlecxspmiddle"/>
    <w:basedOn w:val="9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6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963" w:customStyle="1">
    <w:name w:val="Сетка таблицы21"/>
    <w:basedOn w:val="906"/>
    <w:next w:val="91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64" w:customStyle="1">
    <w:name w:val="Сетка таблицы11"/>
    <w:basedOn w:val="906"/>
    <w:next w:val="91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65" w:customStyle="1">
    <w:name w:val="Сетка таблицы22"/>
    <w:basedOn w:val="906"/>
    <w:next w:val="91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66" w:customStyle="1">
    <w:name w:val="Нет списка2"/>
    <w:next w:val="907"/>
    <w:semiHidden/>
  </w:style>
  <w:style w:type="table" w:styleId="967" w:customStyle="1">
    <w:name w:val="Сетка таблицы3"/>
    <w:basedOn w:val="906"/>
    <w:next w:val="91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8" w:customStyle="1">
    <w:name w:val="Знак Знак Знак Знак 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paragraph" w:styleId="969" w:customStyle="1">
    <w:name w:val="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numbering" w:styleId="970" w:customStyle="1">
    <w:name w:val="Нет списка3"/>
    <w:next w:val="907"/>
    <w:semiHidden/>
    <w:unhideWhenUsed/>
  </w:style>
  <w:style w:type="table" w:styleId="971" w:customStyle="1">
    <w:name w:val="Сетка таблицы4"/>
    <w:basedOn w:val="906"/>
    <w:next w:val="91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2" w:customStyle="1">
    <w:name w:val="Знак Знак Знак Знак 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paragraph" w:styleId="973" w:customStyle="1">
    <w:name w:val="Знак"/>
    <w:basedOn w:val="902"/>
    <w:pPr>
      <w:spacing w:after="160" w:line="240" w:lineRule="exact"/>
    </w:pPr>
    <w:rPr>
      <w:rFonts w:ascii="Verdana" w:hAnsi="Verdana" w:eastAsia="Times New Roman" w:cs="Verdana"/>
      <w:color w:val="000000"/>
      <w:sz w:val="24"/>
      <w:szCs w:val="24"/>
      <w:lang w:val="en-US"/>
    </w:rPr>
  </w:style>
  <w:style w:type="table" w:styleId="974" w:customStyle="1">
    <w:name w:val="Сетка таблицы31"/>
    <w:basedOn w:val="906"/>
    <w:next w:val="917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75" w:customStyle="1">
    <w:name w:val="Сетка таблицы5"/>
    <w:basedOn w:val="906"/>
    <w:next w:val="917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76" w:customStyle="1">
    <w:name w:val="Сетка таблицы6"/>
    <w:basedOn w:val="906"/>
    <w:next w:val="917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77" w:customStyle="1">
    <w:name w:val="Сетка таблицы7"/>
    <w:basedOn w:val="906"/>
    <w:next w:val="917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78" w:customStyle="1">
    <w:name w:val="Сетка таблицы8"/>
    <w:basedOn w:val="906"/>
    <w:next w:val="917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79" w:customStyle="1">
    <w:name w:val="Сетка таблицы9"/>
    <w:basedOn w:val="906"/>
    <w:next w:val="917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670F-2174-4388-BEBD-58B51EAE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priem_adm</dc:creator>
  <cp:lastModifiedBy>priem-2</cp:lastModifiedBy>
  <cp:revision>68</cp:revision>
  <dcterms:created xsi:type="dcterms:W3CDTF">2026-01-19T13:11:00Z</dcterms:created>
  <dcterms:modified xsi:type="dcterms:W3CDTF">2026-05-26T06:32:38Z</dcterms:modified>
</cp:coreProperties>
</file>